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ED" w:rsidRDefault="0083109C" w:rsidP="0083109C">
      <w:pPr>
        <w:jc w:val="center"/>
      </w:pPr>
      <w:bookmarkStart w:id="0" w:name="_GoBack"/>
      <w:bookmarkEnd w:id="0"/>
      <w:r w:rsidRPr="0083109C">
        <w:rPr>
          <w:noProof/>
          <w:lang w:eastAsia="sv-SE"/>
        </w:rPr>
        <w:drawing>
          <wp:inline distT="0" distB="0" distL="0" distR="0" wp14:anchorId="44F2BDB4" wp14:editId="2F648273">
            <wp:extent cx="4435475" cy="2977515"/>
            <wp:effectExtent l="0" t="0" r="3175" b="0"/>
            <wp:docPr id="6" name="Bildobjekt 5"/>
            <wp:cNvGraphicFramePr/>
            <a:graphic xmlns:a="http://schemas.openxmlformats.org/drawingml/2006/main">
              <a:graphicData uri="http://schemas.openxmlformats.org/drawingml/2006/picture">
                <pic:pic xmlns:pic="http://schemas.openxmlformats.org/drawingml/2006/picture">
                  <pic:nvPicPr>
                    <pic:cNvPr id="6" name="Bildobjekt 5"/>
                    <pic:cNvPicPr/>
                  </pic:nvPicPr>
                  <pic:blipFill>
                    <a:blip r:embed="rId7" cstate="screen">
                      <a:extLst>
                        <a:ext uri="{28A0092B-C50C-407E-A947-70E740481C1C}">
                          <a14:useLocalDpi xmlns:a14="http://schemas.microsoft.com/office/drawing/2010/main" val="0"/>
                        </a:ext>
                      </a:extLst>
                    </a:blip>
                    <a:stretch>
                      <a:fillRect/>
                    </a:stretch>
                  </pic:blipFill>
                  <pic:spPr>
                    <a:xfrm>
                      <a:off x="0" y="0"/>
                      <a:ext cx="4435475" cy="2977515"/>
                    </a:xfrm>
                    <a:prstGeom prst="rect">
                      <a:avLst/>
                    </a:prstGeom>
                  </pic:spPr>
                </pic:pic>
              </a:graphicData>
            </a:graphic>
          </wp:inline>
        </w:drawing>
      </w:r>
    </w:p>
    <w:p w:rsidR="00D65EED" w:rsidRDefault="00D65EED" w:rsidP="00D65EED"/>
    <w:p w:rsidR="00D65EED" w:rsidRPr="00A01695" w:rsidRDefault="00D65EED" w:rsidP="00D65EED">
      <w:pPr>
        <w:jc w:val="center"/>
        <w:rPr>
          <w:b/>
          <w:sz w:val="32"/>
          <w:szCs w:val="32"/>
        </w:rPr>
      </w:pPr>
      <w:r w:rsidRPr="00A01695">
        <w:rPr>
          <w:b/>
          <w:sz w:val="32"/>
          <w:szCs w:val="32"/>
        </w:rPr>
        <w:t>Projektförslag</w:t>
      </w:r>
    </w:p>
    <w:p w:rsidR="00D65EED" w:rsidRPr="00A01695" w:rsidRDefault="00D65EED" w:rsidP="00D65EED">
      <w:pPr>
        <w:jc w:val="center"/>
        <w:rPr>
          <w:b/>
          <w:sz w:val="32"/>
          <w:szCs w:val="32"/>
        </w:rPr>
      </w:pPr>
      <w:r w:rsidRPr="00A01695">
        <w:rPr>
          <w:b/>
          <w:sz w:val="32"/>
          <w:szCs w:val="32"/>
        </w:rPr>
        <w:t xml:space="preserve">Metod för mätning av erforderlig </w:t>
      </w:r>
      <w:proofErr w:type="spellStart"/>
      <w:r w:rsidRPr="00A01695">
        <w:rPr>
          <w:b/>
          <w:sz w:val="32"/>
          <w:szCs w:val="32"/>
        </w:rPr>
        <w:t>rostmån</w:t>
      </w:r>
      <w:proofErr w:type="spellEnd"/>
      <w:r w:rsidRPr="00A01695">
        <w:rPr>
          <w:b/>
          <w:sz w:val="32"/>
          <w:szCs w:val="32"/>
        </w:rPr>
        <w:t xml:space="preserve"> på stålpålar</w:t>
      </w:r>
    </w:p>
    <w:p w:rsidR="00D65EED" w:rsidRPr="00A01695" w:rsidRDefault="00D65EED" w:rsidP="00D65EED">
      <w:pPr>
        <w:rPr>
          <w:b/>
          <w:sz w:val="28"/>
          <w:szCs w:val="28"/>
        </w:rPr>
      </w:pPr>
      <w:r w:rsidRPr="00A01695">
        <w:rPr>
          <w:b/>
          <w:sz w:val="28"/>
          <w:szCs w:val="28"/>
        </w:rPr>
        <w:t>Bakgrund</w:t>
      </w:r>
    </w:p>
    <w:p w:rsidR="00D65EED" w:rsidRDefault="00D65EED" w:rsidP="00D65EED">
      <w:r>
        <w:t>Långtidsexponeringar</w:t>
      </w:r>
      <w:r w:rsidR="003C57C6" w:rsidRPr="003C57C6">
        <w:t xml:space="preserve"> </w:t>
      </w:r>
      <w:r w:rsidR="003C57C6">
        <w:t>av stålpålar i jord</w:t>
      </w:r>
      <w:r>
        <w:t xml:space="preserve">, utförda i bl.a. USA, Norge, Japan och Sverige, har visat att korrosionshastigheten under grundvattenytan är mycket låg, 2-10 </w:t>
      </w:r>
      <w:proofErr w:type="spellStart"/>
      <w:r>
        <w:t>μm</w:t>
      </w:r>
      <w:proofErr w:type="spellEnd"/>
      <w:r>
        <w:t xml:space="preserve">/år. Det har också framkommit att korrelationen mellan korrosionshastighet och olika jordparametrar är dålig. I vissa fall uppstår dock en förhöjd korrosion kring grundvattenytan. Hur allvarlig denna korrosion blir beror på en mängd faktorer såsom jordens resistivitet, vattenhalt och hur mycket grundvattenytan varierar och dess läge. Det finns således ett behov av att kunna identifiera de jordförhållanden där denna typ av ”midjebildning” inte kan uteslutas. </w:t>
      </w:r>
    </w:p>
    <w:p w:rsidR="00D65EED" w:rsidRPr="00A01695" w:rsidRDefault="00D65EED" w:rsidP="00D65EED">
      <w:pPr>
        <w:rPr>
          <w:b/>
          <w:sz w:val="28"/>
          <w:szCs w:val="28"/>
        </w:rPr>
      </w:pPr>
      <w:r w:rsidRPr="00A01695">
        <w:rPr>
          <w:b/>
          <w:sz w:val="28"/>
          <w:szCs w:val="28"/>
        </w:rPr>
        <w:t>Syfte</w:t>
      </w:r>
    </w:p>
    <w:p w:rsidR="00D65EED" w:rsidRDefault="00D65EED" w:rsidP="00D65EED">
      <w:r>
        <w:t>Syftet med projektet är att utveckla en sond som, redan efter en begränsad exponeringstid, kan indikera om det föreligger risk för en lokalt förhöjd korrosionshastighet i korrosionszonen runt grundvattenytan. Konstateras en sådan risk i projekteringsstadiet kan korrosionsskyddande åtgärder sättas in på delarna från grundvattenytan och uppåt</w:t>
      </w:r>
      <w:r w:rsidR="00A521AF">
        <w:t xml:space="preserve">. På djupare delar räcker det att tillämpa en </w:t>
      </w:r>
      <w:proofErr w:type="spellStart"/>
      <w:r w:rsidR="00A521AF">
        <w:t>rostmån</w:t>
      </w:r>
      <w:proofErr w:type="spellEnd"/>
      <w:r w:rsidR="00A521AF">
        <w:t xml:space="preserve"> på 2 mm. I de allra flesta fallen torde dock mätningarna visa att någon korrosionszon inte existerar, vilket möjliggör en säker användning av stålpålar istället för betongpålar.</w:t>
      </w:r>
      <w:r>
        <w:t xml:space="preserve"> </w:t>
      </w:r>
    </w:p>
    <w:p w:rsidR="00D65EED" w:rsidRDefault="00D65EED" w:rsidP="00D65EED">
      <w:r>
        <w:t xml:space="preserve">Sonden bygger på principen att mäta de svaga likströmmar som korrosionen ger upphov till. </w:t>
      </w:r>
      <w:r w:rsidR="003243D6">
        <w:t xml:space="preserve">Inledande försök har gett positiva resultat. </w:t>
      </w:r>
      <w:r>
        <w:t xml:space="preserve">En stor fördel med att basera utvärderingen på </w:t>
      </w:r>
      <w:r>
        <w:lastRenderedPageBreak/>
        <w:t xml:space="preserve">elektriska mätningar i stället för utvärdering av olika jordparametrar är att de flesta pålar slås i omrörd fyllnadsjord och inte ostörd jord varifrån alla korrosionsdata har samlats in. </w:t>
      </w:r>
    </w:p>
    <w:p w:rsidR="00D65EED" w:rsidRPr="00A01695" w:rsidRDefault="00D65EED" w:rsidP="00D65EED">
      <w:pPr>
        <w:rPr>
          <w:b/>
          <w:sz w:val="28"/>
          <w:szCs w:val="28"/>
        </w:rPr>
      </w:pPr>
      <w:r w:rsidRPr="00A01695">
        <w:rPr>
          <w:b/>
          <w:sz w:val="28"/>
          <w:szCs w:val="28"/>
        </w:rPr>
        <w:t>Utförande</w:t>
      </w:r>
    </w:p>
    <w:p w:rsidR="00D65EED" w:rsidRDefault="00D65EED" w:rsidP="00D65EED">
      <w:r>
        <w:t xml:space="preserve">Arbetet är tänkt att utföras i två etapper. Etapp två genomförs bara om </w:t>
      </w:r>
      <w:r w:rsidR="003243D6">
        <w:t>försöken</w:t>
      </w:r>
      <w:r>
        <w:t xml:space="preserve"> i etapp ett är framgångsrika.</w:t>
      </w:r>
    </w:p>
    <w:p w:rsidR="00D65EED" w:rsidRPr="00CF4932" w:rsidRDefault="00D65EED" w:rsidP="00D65EED">
      <w:pPr>
        <w:rPr>
          <w:i/>
        </w:rPr>
      </w:pPr>
      <w:r w:rsidRPr="00CF4932">
        <w:rPr>
          <w:i/>
        </w:rPr>
        <w:t xml:space="preserve">Etapp 1 </w:t>
      </w:r>
    </w:p>
    <w:p w:rsidR="00D65EED" w:rsidRDefault="00D65EED" w:rsidP="00D65EED">
      <w:r>
        <w:t xml:space="preserve">Den tänkta sonden utgörs av en plastpåle med inbyggda stålytor placerad på olika nivåer utmed hela sondens längd. Först </w:t>
      </w:r>
      <w:proofErr w:type="spellStart"/>
      <w:r>
        <w:t>prylas</w:t>
      </w:r>
      <w:proofErr w:type="spellEnd"/>
      <w:r>
        <w:t xml:space="preserve"> ett hål och sen trycks sonden ner i jorden. Delströmmarna mellan de olika stålytorna mäts vid upprepade tillfällen till dess att stabila värden erhålls. Ström som går från stålytan och ut i marken ger upphov till korrosion. Strömtätheten är direkt proportionell mot korrosionshastigheten.</w:t>
      </w:r>
    </w:p>
    <w:p w:rsidR="00D65EED" w:rsidRDefault="00D65EED" w:rsidP="00D65EED">
      <w:r>
        <w:t xml:space="preserve">Ett antal sonder tillverkas och </w:t>
      </w:r>
      <w:r w:rsidR="003243D6">
        <w:t>installeras</w:t>
      </w:r>
      <w:r>
        <w:t xml:space="preserve"> på institutets fältstationer. Uppmätta strömmar korreleras mot de efter mer än 30 år uppmätta korrosionshastigheterna. Parallellt mäts grundvattenytans läge och jordresistiviteten på olika djup. </w:t>
      </w:r>
    </w:p>
    <w:p w:rsidR="00D65EED" w:rsidRDefault="00D65EED" w:rsidP="00D65EED">
      <w:r>
        <w:t xml:space="preserve">Från våra långtidsexponeringar vet vi att lokalt hög korrosion inträffat på två av stationerna nämligen Näset i Göteborg och Skå på Mälaröarna. På </w:t>
      </w:r>
      <w:r w:rsidR="00B01C52">
        <w:t xml:space="preserve">någon av </w:t>
      </w:r>
      <w:r>
        <w:t xml:space="preserve">dessa platser utförs också försök med korrosionsskyddande åtgärder. I första hand studeras effekten av en diffusionsspärr för syre. Effekten mäts med sonden.  </w:t>
      </w:r>
    </w:p>
    <w:p w:rsidR="00D65EED" w:rsidRPr="00CF4932" w:rsidRDefault="00D65EED" w:rsidP="00D65EED">
      <w:pPr>
        <w:rPr>
          <w:i/>
        </w:rPr>
      </w:pPr>
      <w:r w:rsidRPr="00CF4932">
        <w:rPr>
          <w:i/>
        </w:rPr>
        <w:t>Etapp 2</w:t>
      </w:r>
    </w:p>
    <w:p w:rsidR="00D65EED" w:rsidRDefault="00D65EED" w:rsidP="00D65EED">
      <w:r>
        <w:t xml:space="preserve">I etapp två provas sonden i olika typer av fyllnadsjordar. En </w:t>
      </w:r>
      <w:r w:rsidR="00BD6EEA">
        <w:t xml:space="preserve">ny </w:t>
      </w:r>
      <w:r>
        <w:t>prototyp</w:t>
      </w:r>
      <w:r w:rsidR="00BD6EEA">
        <w:t>,</w:t>
      </w:r>
      <w:r w:rsidR="00BD6EEA" w:rsidRPr="00BD6EEA">
        <w:t xml:space="preserve"> </w:t>
      </w:r>
      <w:r w:rsidR="00BD6EEA">
        <w:t>anpassad efter vunna erfarenheter i etapp 1,</w:t>
      </w:r>
      <w:r>
        <w:t xml:space="preserve"> tas fram tillsammans med ett mätinstrument som ska klara av </w:t>
      </w:r>
      <w:r w:rsidR="003243D6">
        <w:t xml:space="preserve">att </w:t>
      </w:r>
      <w:r>
        <w:t>successivt mäta de olika delströmmarna och ha ett inbyggt datalagringssystem. Mätdata ska också kunna överföras via mobilnätet.</w:t>
      </w:r>
    </w:p>
    <w:p w:rsidR="00D65EED" w:rsidRPr="00B83DB4" w:rsidRDefault="00D65EED" w:rsidP="00D65EED">
      <w:pPr>
        <w:rPr>
          <w:b/>
          <w:sz w:val="28"/>
          <w:szCs w:val="28"/>
        </w:rPr>
      </w:pPr>
      <w:r w:rsidRPr="00B83DB4">
        <w:rPr>
          <w:b/>
          <w:sz w:val="28"/>
          <w:szCs w:val="28"/>
        </w:rPr>
        <w:t>Tidsplan</w:t>
      </w:r>
    </w:p>
    <w:p w:rsidR="00D65EED" w:rsidRDefault="00D65EED" w:rsidP="00D65EED">
      <w:r>
        <w:t>Projektet (etapp 1) planeras att starta våren 2017 och pågå till hösten 2018.</w:t>
      </w:r>
    </w:p>
    <w:tbl>
      <w:tblPr>
        <w:tblStyle w:val="Tabellrutnt"/>
        <w:tblW w:w="5000" w:type="pct"/>
        <w:tblLook w:val="04A0" w:firstRow="1" w:lastRow="0" w:firstColumn="1" w:lastColumn="0" w:noHBand="0" w:noVBand="1"/>
      </w:tblPr>
      <w:tblGrid>
        <w:gridCol w:w="2670"/>
        <w:gridCol w:w="1174"/>
        <w:gridCol w:w="1174"/>
        <w:gridCol w:w="1175"/>
        <w:gridCol w:w="1173"/>
        <w:gridCol w:w="1173"/>
        <w:gridCol w:w="1175"/>
      </w:tblGrid>
      <w:tr w:rsidR="00D65EED" w:rsidTr="0083109C">
        <w:trPr>
          <w:trHeight w:val="255"/>
        </w:trPr>
        <w:tc>
          <w:tcPr>
            <w:tcW w:w="1374" w:type="pct"/>
            <w:vMerge w:val="restart"/>
            <w:shd w:val="clear" w:color="auto" w:fill="D9D9D9" w:themeFill="background1" w:themeFillShade="D9"/>
            <w:vAlign w:val="center"/>
          </w:tcPr>
          <w:p w:rsidR="00D65EED" w:rsidRPr="003243D6" w:rsidRDefault="00D65EED" w:rsidP="0083109C">
            <w:pPr>
              <w:keepNext/>
              <w:spacing w:after="0" w:line="360" w:lineRule="auto"/>
              <w:jc w:val="center"/>
              <w:rPr>
                <w:b/>
              </w:rPr>
            </w:pPr>
            <w:r w:rsidRPr="003243D6">
              <w:rPr>
                <w:b/>
              </w:rPr>
              <w:lastRenderedPageBreak/>
              <w:t>Aktivitet</w:t>
            </w:r>
          </w:p>
        </w:tc>
        <w:tc>
          <w:tcPr>
            <w:tcW w:w="1813" w:type="pct"/>
            <w:gridSpan w:val="3"/>
            <w:shd w:val="clear" w:color="auto" w:fill="D9D9D9" w:themeFill="background1" w:themeFillShade="D9"/>
            <w:vAlign w:val="center"/>
          </w:tcPr>
          <w:p w:rsidR="00D65EED" w:rsidRPr="003243D6" w:rsidRDefault="00D65EED" w:rsidP="0083109C">
            <w:pPr>
              <w:keepNext/>
              <w:spacing w:after="0"/>
              <w:jc w:val="center"/>
              <w:rPr>
                <w:b/>
              </w:rPr>
            </w:pPr>
            <w:r w:rsidRPr="003243D6">
              <w:rPr>
                <w:b/>
              </w:rPr>
              <w:t>2017</w:t>
            </w:r>
          </w:p>
        </w:tc>
        <w:tc>
          <w:tcPr>
            <w:tcW w:w="1813" w:type="pct"/>
            <w:gridSpan w:val="3"/>
            <w:shd w:val="clear" w:color="auto" w:fill="D9D9D9" w:themeFill="background1" w:themeFillShade="D9"/>
            <w:vAlign w:val="center"/>
          </w:tcPr>
          <w:p w:rsidR="00D65EED" w:rsidRPr="003243D6" w:rsidRDefault="00D65EED" w:rsidP="0083109C">
            <w:pPr>
              <w:keepNext/>
              <w:spacing w:after="0"/>
              <w:jc w:val="center"/>
              <w:rPr>
                <w:b/>
              </w:rPr>
            </w:pPr>
            <w:r w:rsidRPr="003243D6">
              <w:rPr>
                <w:b/>
              </w:rPr>
              <w:t>2018</w:t>
            </w:r>
          </w:p>
        </w:tc>
      </w:tr>
      <w:tr w:rsidR="00D65EED" w:rsidTr="0083109C">
        <w:trPr>
          <w:trHeight w:val="255"/>
        </w:trPr>
        <w:tc>
          <w:tcPr>
            <w:tcW w:w="1374" w:type="pct"/>
            <w:vMerge/>
            <w:shd w:val="clear" w:color="auto" w:fill="D9D9D9" w:themeFill="background1" w:themeFillShade="D9"/>
            <w:vAlign w:val="center"/>
          </w:tcPr>
          <w:p w:rsidR="00D65EED" w:rsidRPr="003243D6" w:rsidRDefault="00D65EED" w:rsidP="0083109C">
            <w:pPr>
              <w:keepNext/>
              <w:spacing w:after="0"/>
              <w:jc w:val="center"/>
              <w:rPr>
                <w:b/>
              </w:rPr>
            </w:pPr>
          </w:p>
        </w:tc>
        <w:tc>
          <w:tcPr>
            <w:tcW w:w="604" w:type="pct"/>
            <w:shd w:val="clear" w:color="auto" w:fill="D9D9D9" w:themeFill="background1" w:themeFillShade="D9"/>
            <w:vAlign w:val="center"/>
          </w:tcPr>
          <w:p w:rsidR="00D65EED" w:rsidRPr="003243D6" w:rsidRDefault="00D65EED" w:rsidP="0083109C">
            <w:pPr>
              <w:keepNext/>
              <w:spacing w:after="0"/>
              <w:jc w:val="center"/>
              <w:rPr>
                <w:b/>
              </w:rPr>
            </w:pPr>
            <w:r w:rsidRPr="003243D6">
              <w:rPr>
                <w:b/>
              </w:rPr>
              <w:t>Kvartal 2</w:t>
            </w:r>
          </w:p>
        </w:tc>
        <w:tc>
          <w:tcPr>
            <w:tcW w:w="604" w:type="pct"/>
            <w:shd w:val="clear" w:color="auto" w:fill="D9D9D9" w:themeFill="background1" w:themeFillShade="D9"/>
            <w:vAlign w:val="center"/>
          </w:tcPr>
          <w:p w:rsidR="00D65EED" w:rsidRPr="003243D6" w:rsidRDefault="00D65EED" w:rsidP="0083109C">
            <w:pPr>
              <w:keepNext/>
              <w:spacing w:after="0"/>
              <w:jc w:val="center"/>
              <w:rPr>
                <w:b/>
              </w:rPr>
            </w:pPr>
            <w:r w:rsidRPr="003243D6">
              <w:rPr>
                <w:b/>
              </w:rPr>
              <w:t>Kvartal 3</w:t>
            </w:r>
          </w:p>
        </w:tc>
        <w:tc>
          <w:tcPr>
            <w:tcW w:w="604" w:type="pct"/>
            <w:shd w:val="clear" w:color="auto" w:fill="D9D9D9" w:themeFill="background1" w:themeFillShade="D9"/>
            <w:vAlign w:val="center"/>
          </w:tcPr>
          <w:p w:rsidR="00D65EED" w:rsidRPr="003243D6" w:rsidRDefault="00D65EED" w:rsidP="0083109C">
            <w:pPr>
              <w:keepNext/>
              <w:spacing w:after="0"/>
              <w:jc w:val="center"/>
              <w:rPr>
                <w:b/>
              </w:rPr>
            </w:pPr>
            <w:r w:rsidRPr="003243D6">
              <w:rPr>
                <w:b/>
              </w:rPr>
              <w:t>Kvartal 4</w:t>
            </w:r>
          </w:p>
        </w:tc>
        <w:tc>
          <w:tcPr>
            <w:tcW w:w="604" w:type="pct"/>
            <w:shd w:val="clear" w:color="auto" w:fill="D9D9D9" w:themeFill="background1" w:themeFillShade="D9"/>
            <w:vAlign w:val="center"/>
          </w:tcPr>
          <w:p w:rsidR="00D65EED" w:rsidRPr="003243D6" w:rsidRDefault="00D65EED" w:rsidP="0083109C">
            <w:pPr>
              <w:keepNext/>
              <w:spacing w:after="0"/>
              <w:jc w:val="center"/>
              <w:rPr>
                <w:b/>
              </w:rPr>
            </w:pPr>
            <w:r w:rsidRPr="003243D6">
              <w:rPr>
                <w:b/>
              </w:rPr>
              <w:t>Kvartal 1</w:t>
            </w:r>
          </w:p>
        </w:tc>
        <w:tc>
          <w:tcPr>
            <w:tcW w:w="604" w:type="pct"/>
            <w:shd w:val="clear" w:color="auto" w:fill="D9D9D9" w:themeFill="background1" w:themeFillShade="D9"/>
            <w:vAlign w:val="center"/>
          </w:tcPr>
          <w:p w:rsidR="00D65EED" w:rsidRPr="003243D6" w:rsidRDefault="00D65EED" w:rsidP="0083109C">
            <w:pPr>
              <w:keepNext/>
              <w:spacing w:after="0"/>
              <w:jc w:val="center"/>
              <w:rPr>
                <w:b/>
              </w:rPr>
            </w:pPr>
            <w:r w:rsidRPr="003243D6">
              <w:rPr>
                <w:b/>
              </w:rPr>
              <w:t>Kvartal 2</w:t>
            </w:r>
          </w:p>
        </w:tc>
        <w:tc>
          <w:tcPr>
            <w:tcW w:w="604" w:type="pct"/>
            <w:shd w:val="clear" w:color="auto" w:fill="D9D9D9" w:themeFill="background1" w:themeFillShade="D9"/>
            <w:vAlign w:val="center"/>
          </w:tcPr>
          <w:p w:rsidR="00D65EED" w:rsidRPr="003243D6" w:rsidRDefault="00D65EED" w:rsidP="0083109C">
            <w:pPr>
              <w:keepNext/>
              <w:spacing w:after="0"/>
              <w:jc w:val="center"/>
              <w:rPr>
                <w:b/>
              </w:rPr>
            </w:pPr>
            <w:r w:rsidRPr="003243D6">
              <w:rPr>
                <w:b/>
              </w:rPr>
              <w:t>Kvartal 3</w:t>
            </w:r>
          </w:p>
        </w:tc>
      </w:tr>
      <w:tr w:rsidR="00D65EED" w:rsidTr="0083109C">
        <w:trPr>
          <w:cantSplit/>
        </w:trPr>
        <w:tc>
          <w:tcPr>
            <w:tcW w:w="1374" w:type="pct"/>
          </w:tcPr>
          <w:p w:rsidR="00D65EED" w:rsidRDefault="003243D6" w:rsidP="0083109C">
            <w:pPr>
              <w:keepNext/>
              <w:spacing w:after="0"/>
            </w:pPr>
            <w:r>
              <w:t>Möte</w:t>
            </w:r>
          </w:p>
        </w:tc>
        <w:tc>
          <w:tcPr>
            <w:tcW w:w="604" w:type="pct"/>
          </w:tcPr>
          <w:p w:rsidR="00D65EED" w:rsidRDefault="003243D6" w:rsidP="0083109C">
            <w:pPr>
              <w:keepNext/>
              <w:spacing w:after="0"/>
              <w:jc w:val="center"/>
            </w:pPr>
            <w:r>
              <w:t>X</w:t>
            </w:r>
          </w:p>
        </w:tc>
        <w:tc>
          <w:tcPr>
            <w:tcW w:w="604" w:type="pct"/>
          </w:tcPr>
          <w:p w:rsidR="00D65EED" w:rsidRDefault="00D65EED" w:rsidP="0083109C">
            <w:pPr>
              <w:keepNext/>
              <w:spacing w:after="0"/>
              <w:jc w:val="center"/>
            </w:pPr>
          </w:p>
        </w:tc>
        <w:tc>
          <w:tcPr>
            <w:tcW w:w="604" w:type="pct"/>
          </w:tcPr>
          <w:p w:rsidR="00D65EED" w:rsidRDefault="003243D6" w:rsidP="0083109C">
            <w:pPr>
              <w:keepNext/>
              <w:spacing w:after="0"/>
              <w:jc w:val="center"/>
            </w:pPr>
            <w:r>
              <w:t>X</w:t>
            </w:r>
          </w:p>
        </w:tc>
        <w:tc>
          <w:tcPr>
            <w:tcW w:w="604" w:type="pct"/>
          </w:tcPr>
          <w:p w:rsidR="00D65EED" w:rsidRDefault="00D65EED" w:rsidP="0083109C">
            <w:pPr>
              <w:keepNext/>
              <w:spacing w:after="0"/>
              <w:jc w:val="center"/>
            </w:pPr>
          </w:p>
        </w:tc>
        <w:tc>
          <w:tcPr>
            <w:tcW w:w="604" w:type="pct"/>
          </w:tcPr>
          <w:p w:rsidR="00D65EED" w:rsidRDefault="003243D6" w:rsidP="0083109C">
            <w:pPr>
              <w:keepNext/>
              <w:spacing w:after="0"/>
              <w:jc w:val="center"/>
            </w:pPr>
            <w:r>
              <w:t>X</w:t>
            </w:r>
          </w:p>
        </w:tc>
        <w:tc>
          <w:tcPr>
            <w:tcW w:w="604" w:type="pct"/>
          </w:tcPr>
          <w:p w:rsidR="00D65EED" w:rsidRDefault="00D65EED" w:rsidP="0083109C">
            <w:pPr>
              <w:keepNext/>
              <w:spacing w:after="0"/>
              <w:jc w:val="center"/>
            </w:pPr>
          </w:p>
        </w:tc>
      </w:tr>
      <w:tr w:rsidR="00D65EED" w:rsidTr="0083109C">
        <w:trPr>
          <w:cantSplit/>
        </w:trPr>
        <w:tc>
          <w:tcPr>
            <w:tcW w:w="1374" w:type="pct"/>
          </w:tcPr>
          <w:p w:rsidR="00D65EED" w:rsidRDefault="003243D6" w:rsidP="0083109C">
            <w:pPr>
              <w:keepNext/>
              <w:spacing w:after="0"/>
            </w:pPr>
            <w:r>
              <w:t>Tillverkning sonder</w:t>
            </w:r>
          </w:p>
        </w:tc>
        <w:tc>
          <w:tcPr>
            <w:tcW w:w="604" w:type="pct"/>
          </w:tcPr>
          <w:p w:rsidR="00D65EED" w:rsidRDefault="003243D6" w:rsidP="0083109C">
            <w:pPr>
              <w:keepNext/>
              <w:spacing w:after="0"/>
              <w:jc w:val="center"/>
            </w:pPr>
            <w:r>
              <w:t>X</w:t>
            </w:r>
          </w:p>
        </w:tc>
        <w:tc>
          <w:tcPr>
            <w:tcW w:w="604" w:type="pct"/>
          </w:tcPr>
          <w:p w:rsidR="00D65EED" w:rsidRDefault="00D65EED" w:rsidP="0083109C">
            <w:pPr>
              <w:keepNext/>
              <w:spacing w:after="0"/>
              <w:jc w:val="center"/>
            </w:pPr>
          </w:p>
        </w:tc>
        <w:tc>
          <w:tcPr>
            <w:tcW w:w="604" w:type="pct"/>
          </w:tcPr>
          <w:p w:rsidR="00D65EED" w:rsidRDefault="00D65EED" w:rsidP="0083109C">
            <w:pPr>
              <w:keepNext/>
              <w:spacing w:after="0"/>
              <w:jc w:val="center"/>
            </w:pPr>
          </w:p>
        </w:tc>
        <w:tc>
          <w:tcPr>
            <w:tcW w:w="604" w:type="pct"/>
          </w:tcPr>
          <w:p w:rsidR="00D65EED" w:rsidRDefault="00D65EED" w:rsidP="0083109C">
            <w:pPr>
              <w:keepNext/>
              <w:spacing w:after="0"/>
              <w:jc w:val="center"/>
            </w:pPr>
          </w:p>
        </w:tc>
        <w:tc>
          <w:tcPr>
            <w:tcW w:w="604" w:type="pct"/>
          </w:tcPr>
          <w:p w:rsidR="00D65EED" w:rsidRDefault="00D65EED" w:rsidP="0083109C">
            <w:pPr>
              <w:keepNext/>
              <w:spacing w:after="0"/>
              <w:jc w:val="center"/>
            </w:pPr>
          </w:p>
        </w:tc>
        <w:tc>
          <w:tcPr>
            <w:tcW w:w="604" w:type="pct"/>
          </w:tcPr>
          <w:p w:rsidR="00D65EED" w:rsidRDefault="00D65EED" w:rsidP="0083109C">
            <w:pPr>
              <w:keepNext/>
              <w:spacing w:after="0"/>
              <w:jc w:val="center"/>
            </w:pPr>
          </w:p>
        </w:tc>
      </w:tr>
      <w:tr w:rsidR="00D65EED" w:rsidTr="0083109C">
        <w:trPr>
          <w:cantSplit/>
        </w:trPr>
        <w:tc>
          <w:tcPr>
            <w:tcW w:w="1374" w:type="pct"/>
          </w:tcPr>
          <w:p w:rsidR="00D65EED" w:rsidRDefault="003243D6" w:rsidP="0083109C">
            <w:pPr>
              <w:keepNext/>
              <w:spacing w:after="0"/>
            </w:pPr>
            <w:r>
              <w:t>Installation</w:t>
            </w:r>
          </w:p>
        </w:tc>
        <w:tc>
          <w:tcPr>
            <w:tcW w:w="604" w:type="pct"/>
          </w:tcPr>
          <w:p w:rsidR="00D65EED" w:rsidRDefault="00D65EED" w:rsidP="0083109C">
            <w:pPr>
              <w:keepNext/>
              <w:spacing w:after="0"/>
              <w:jc w:val="center"/>
            </w:pPr>
          </w:p>
        </w:tc>
        <w:tc>
          <w:tcPr>
            <w:tcW w:w="604" w:type="pct"/>
          </w:tcPr>
          <w:p w:rsidR="00D65EED" w:rsidRDefault="003243D6" w:rsidP="0083109C">
            <w:pPr>
              <w:keepNext/>
              <w:spacing w:after="0"/>
              <w:jc w:val="center"/>
            </w:pPr>
            <w:r>
              <w:t>X</w:t>
            </w:r>
          </w:p>
        </w:tc>
        <w:tc>
          <w:tcPr>
            <w:tcW w:w="604" w:type="pct"/>
          </w:tcPr>
          <w:p w:rsidR="00D65EED" w:rsidRDefault="00D65EED" w:rsidP="0083109C">
            <w:pPr>
              <w:keepNext/>
              <w:spacing w:after="0"/>
              <w:jc w:val="center"/>
            </w:pPr>
          </w:p>
        </w:tc>
        <w:tc>
          <w:tcPr>
            <w:tcW w:w="604" w:type="pct"/>
          </w:tcPr>
          <w:p w:rsidR="00D65EED" w:rsidRDefault="00D65EED" w:rsidP="0083109C">
            <w:pPr>
              <w:keepNext/>
              <w:spacing w:after="0"/>
              <w:jc w:val="center"/>
            </w:pPr>
          </w:p>
        </w:tc>
        <w:tc>
          <w:tcPr>
            <w:tcW w:w="604" w:type="pct"/>
          </w:tcPr>
          <w:p w:rsidR="00D65EED" w:rsidRDefault="00D65EED" w:rsidP="0083109C">
            <w:pPr>
              <w:keepNext/>
              <w:spacing w:after="0"/>
              <w:jc w:val="center"/>
            </w:pPr>
          </w:p>
        </w:tc>
        <w:tc>
          <w:tcPr>
            <w:tcW w:w="604" w:type="pct"/>
          </w:tcPr>
          <w:p w:rsidR="00D65EED" w:rsidRDefault="00D65EED" w:rsidP="0083109C">
            <w:pPr>
              <w:keepNext/>
              <w:spacing w:after="0"/>
              <w:jc w:val="center"/>
            </w:pPr>
          </w:p>
        </w:tc>
      </w:tr>
      <w:tr w:rsidR="00D65EED" w:rsidTr="0083109C">
        <w:trPr>
          <w:cantSplit/>
        </w:trPr>
        <w:tc>
          <w:tcPr>
            <w:tcW w:w="1374" w:type="pct"/>
          </w:tcPr>
          <w:p w:rsidR="00D65EED" w:rsidRDefault="003243D6" w:rsidP="0083109C">
            <w:pPr>
              <w:keepNext/>
              <w:spacing w:after="0"/>
            </w:pPr>
            <w:r>
              <w:t>Mätningar</w:t>
            </w:r>
          </w:p>
        </w:tc>
        <w:tc>
          <w:tcPr>
            <w:tcW w:w="604" w:type="pct"/>
          </w:tcPr>
          <w:p w:rsidR="00D65EED" w:rsidRDefault="00D65EED" w:rsidP="0083109C">
            <w:pPr>
              <w:keepNext/>
              <w:spacing w:after="0"/>
              <w:jc w:val="center"/>
            </w:pPr>
          </w:p>
        </w:tc>
        <w:tc>
          <w:tcPr>
            <w:tcW w:w="604" w:type="pct"/>
          </w:tcPr>
          <w:p w:rsidR="00D65EED" w:rsidRDefault="003243D6" w:rsidP="0083109C">
            <w:pPr>
              <w:keepNext/>
              <w:spacing w:after="0"/>
              <w:jc w:val="center"/>
            </w:pPr>
            <w:r>
              <w:t>X</w:t>
            </w:r>
          </w:p>
        </w:tc>
        <w:tc>
          <w:tcPr>
            <w:tcW w:w="604" w:type="pct"/>
          </w:tcPr>
          <w:p w:rsidR="00D65EED" w:rsidRDefault="003243D6" w:rsidP="0083109C">
            <w:pPr>
              <w:keepNext/>
              <w:spacing w:after="0"/>
              <w:jc w:val="center"/>
            </w:pPr>
            <w:r>
              <w:t>X</w:t>
            </w:r>
          </w:p>
        </w:tc>
        <w:tc>
          <w:tcPr>
            <w:tcW w:w="604" w:type="pct"/>
          </w:tcPr>
          <w:p w:rsidR="00D65EED" w:rsidRDefault="003243D6" w:rsidP="0083109C">
            <w:pPr>
              <w:keepNext/>
              <w:spacing w:after="0"/>
              <w:jc w:val="center"/>
            </w:pPr>
            <w:r>
              <w:t>X</w:t>
            </w:r>
          </w:p>
        </w:tc>
        <w:tc>
          <w:tcPr>
            <w:tcW w:w="604" w:type="pct"/>
          </w:tcPr>
          <w:p w:rsidR="00D65EED" w:rsidRDefault="00D65EED" w:rsidP="0083109C">
            <w:pPr>
              <w:keepNext/>
              <w:spacing w:after="0"/>
              <w:jc w:val="center"/>
            </w:pPr>
          </w:p>
        </w:tc>
        <w:tc>
          <w:tcPr>
            <w:tcW w:w="604" w:type="pct"/>
          </w:tcPr>
          <w:p w:rsidR="00D65EED" w:rsidRDefault="00D65EED" w:rsidP="0083109C">
            <w:pPr>
              <w:keepNext/>
              <w:spacing w:after="0"/>
              <w:jc w:val="center"/>
            </w:pPr>
          </w:p>
        </w:tc>
      </w:tr>
      <w:tr w:rsidR="00D65EED" w:rsidTr="0083109C">
        <w:trPr>
          <w:cantSplit/>
        </w:trPr>
        <w:tc>
          <w:tcPr>
            <w:tcW w:w="1374" w:type="pct"/>
          </w:tcPr>
          <w:p w:rsidR="00D65EED" w:rsidRDefault="00F957D7" w:rsidP="0083109C">
            <w:pPr>
              <w:keepNext/>
              <w:spacing w:after="0"/>
            </w:pPr>
            <w:r>
              <w:t>Prov med korrosionsskydd</w:t>
            </w:r>
          </w:p>
        </w:tc>
        <w:tc>
          <w:tcPr>
            <w:tcW w:w="604" w:type="pct"/>
          </w:tcPr>
          <w:p w:rsidR="00D65EED" w:rsidRDefault="00D65EED" w:rsidP="0083109C">
            <w:pPr>
              <w:keepNext/>
              <w:spacing w:after="0"/>
              <w:jc w:val="center"/>
            </w:pPr>
          </w:p>
        </w:tc>
        <w:tc>
          <w:tcPr>
            <w:tcW w:w="604" w:type="pct"/>
          </w:tcPr>
          <w:p w:rsidR="00D65EED" w:rsidRDefault="00D65EED" w:rsidP="0083109C">
            <w:pPr>
              <w:keepNext/>
              <w:spacing w:after="0"/>
              <w:jc w:val="center"/>
            </w:pPr>
          </w:p>
        </w:tc>
        <w:tc>
          <w:tcPr>
            <w:tcW w:w="604" w:type="pct"/>
          </w:tcPr>
          <w:p w:rsidR="00D65EED" w:rsidRDefault="00D65EED" w:rsidP="0083109C">
            <w:pPr>
              <w:keepNext/>
              <w:spacing w:after="0"/>
              <w:jc w:val="center"/>
            </w:pPr>
          </w:p>
        </w:tc>
        <w:tc>
          <w:tcPr>
            <w:tcW w:w="604" w:type="pct"/>
          </w:tcPr>
          <w:p w:rsidR="00D65EED" w:rsidRDefault="00F957D7" w:rsidP="0083109C">
            <w:pPr>
              <w:keepNext/>
              <w:spacing w:after="0"/>
              <w:jc w:val="center"/>
            </w:pPr>
            <w:r>
              <w:t>X</w:t>
            </w:r>
          </w:p>
        </w:tc>
        <w:tc>
          <w:tcPr>
            <w:tcW w:w="604" w:type="pct"/>
          </w:tcPr>
          <w:p w:rsidR="00D65EED" w:rsidRDefault="00D65EED" w:rsidP="0083109C">
            <w:pPr>
              <w:keepNext/>
              <w:spacing w:after="0"/>
              <w:jc w:val="center"/>
            </w:pPr>
          </w:p>
        </w:tc>
        <w:tc>
          <w:tcPr>
            <w:tcW w:w="604" w:type="pct"/>
          </w:tcPr>
          <w:p w:rsidR="00D65EED" w:rsidRDefault="00D65EED" w:rsidP="0083109C">
            <w:pPr>
              <w:keepNext/>
              <w:spacing w:after="0"/>
              <w:jc w:val="center"/>
            </w:pPr>
          </w:p>
        </w:tc>
      </w:tr>
      <w:tr w:rsidR="00F957D7" w:rsidTr="0083109C">
        <w:trPr>
          <w:cantSplit/>
        </w:trPr>
        <w:tc>
          <w:tcPr>
            <w:tcW w:w="1374" w:type="pct"/>
          </w:tcPr>
          <w:p w:rsidR="00F957D7" w:rsidRDefault="00F957D7" w:rsidP="0083109C">
            <w:pPr>
              <w:keepNext/>
              <w:spacing w:after="0"/>
            </w:pPr>
            <w:r>
              <w:t xml:space="preserve">Utvärdering </w:t>
            </w:r>
          </w:p>
        </w:tc>
        <w:tc>
          <w:tcPr>
            <w:tcW w:w="604" w:type="pct"/>
          </w:tcPr>
          <w:p w:rsidR="00F957D7" w:rsidRDefault="00F957D7" w:rsidP="0083109C">
            <w:pPr>
              <w:keepNext/>
              <w:spacing w:after="0"/>
              <w:jc w:val="center"/>
            </w:pPr>
          </w:p>
        </w:tc>
        <w:tc>
          <w:tcPr>
            <w:tcW w:w="604" w:type="pct"/>
          </w:tcPr>
          <w:p w:rsidR="00F957D7" w:rsidRDefault="00F957D7" w:rsidP="0083109C">
            <w:pPr>
              <w:keepNext/>
              <w:spacing w:after="0"/>
              <w:jc w:val="center"/>
            </w:pPr>
          </w:p>
        </w:tc>
        <w:tc>
          <w:tcPr>
            <w:tcW w:w="604" w:type="pct"/>
          </w:tcPr>
          <w:p w:rsidR="00F957D7" w:rsidRDefault="00F957D7" w:rsidP="0083109C">
            <w:pPr>
              <w:keepNext/>
              <w:spacing w:after="0"/>
              <w:jc w:val="center"/>
            </w:pPr>
          </w:p>
        </w:tc>
        <w:tc>
          <w:tcPr>
            <w:tcW w:w="604" w:type="pct"/>
          </w:tcPr>
          <w:p w:rsidR="00F957D7" w:rsidRDefault="00F957D7" w:rsidP="0083109C">
            <w:pPr>
              <w:keepNext/>
              <w:spacing w:after="0"/>
              <w:jc w:val="center"/>
            </w:pPr>
          </w:p>
        </w:tc>
        <w:tc>
          <w:tcPr>
            <w:tcW w:w="604" w:type="pct"/>
          </w:tcPr>
          <w:p w:rsidR="00F957D7" w:rsidRDefault="00F957D7" w:rsidP="0083109C">
            <w:pPr>
              <w:keepNext/>
              <w:spacing w:after="0"/>
              <w:jc w:val="center"/>
            </w:pPr>
            <w:r>
              <w:t>X</w:t>
            </w:r>
          </w:p>
        </w:tc>
        <w:tc>
          <w:tcPr>
            <w:tcW w:w="604" w:type="pct"/>
          </w:tcPr>
          <w:p w:rsidR="00F957D7" w:rsidRDefault="00F957D7" w:rsidP="0083109C">
            <w:pPr>
              <w:keepNext/>
              <w:spacing w:after="0"/>
              <w:jc w:val="center"/>
            </w:pPr>
          </w:p>
        </w:tc>
      </w:tr>
      <w:tr w:rsidR="00D65EED" w:rsidTr="0083109C">
        <w:trPr>
          <w:cantSplit/>
        </w:trPr>
        <w:tc>
          <w:tcPr>
            <w:tcW w:w="1374" w:type="pct"/>
          </w:tcPr>
          <w:p w:rsidR="00D65EED" w:rsidRDefault="003243D6" w:rsidP="0083109C">
            <w:pPr>
              <w:spacing w:after="0"/>
            </w:pPr>
            <w:r>
              <w:t>Rapportering</w:t>
            </w:r>
          </w:p>
        </w:tc>
        <w:tc>
          <w:tcPr>
            <w:tcW w:w="604" w:type="pct"/>
          </w:tcPr>
          <w:p w:rsidR="00D65EED" w:rsidRDefault="00D65EED" w:rsidP="0083109C">
            <w:pPr>
              <w:spacing w:after="0"/>
              <w:jc w:val="center"/>
            </w:pPr>
          </w:p>
        </w:tc>
        <w:tc>
          <w:tcPr>
            <w:tcW w:w="604" w:type="pct"/>
          </w:tcPr>
          <w:p w:rsidR="00D65EED" w:rsidRDefault="00D65EED" w:rsidP="0083109C">
            <w:pPr>
              <w:spacing w:after="0"/>
              <w:jc w:val="center"/>
            </w:pPr>
          </w:p>
        </w:tc>
        <w:tc>
          <w:tcPr>
            <w:tcW w:w="604" w:type="pct"/>
          </w:tcPr>
          <w:p w:rsidR="00D65EED" w:rsidRDefault="00D65EED" w:rsidP="0083109C">
            <w:pPr>
              <w:spacing w:after="0"/>
              <w:jc w:val="center"/>
            </w:pPr>
          </w:p>
        </w:tc>
        <w:tc>
          <w:tcPr>
            <w:tcW w:w="604" w:type="pct"/>
          </w:tcPr>
          <w:p w:rsidR="00D65EED" w:rsidRDefault="00D65EED" w:rsidP="0083109C">
            <w:pPr>
              <w:spacing w:after="0"/>
              <w:jc w:val="center"/>
            </w:pPr>
          </w:p>
        </w:tc>
        <w:tc>
          <w:tcPr>
            <w:tcW w:w="604" w:type="pct"/>
          </w:tcPr>
          <w:p w:rsidR="00D65EED" w:rsidRDefault="00D65EED" w:rsidP="0083109C">
            <w:pPr>
              <w:spacing w:after="0"/>
              <w:jc w:val="center"/>
            </w:pPr>
          </w:p>
        </w:tc>
        <w:tc>
          <w:tcPr>
            <w:tcW w:w="604" w:type="pct"/>
          </w:tcPr>
          <w:p w:rsidR="00D65EED" w:rsidRDefault="003243D6" w:rsidP="0083109C">
            <w:pPr>
              <w:spacing w:after="0"/>
              <w:jc w:val="center"/>
            </w:pPr>
            <w:r>
              <w:t>X</w:t>
            </w:r>
          </w:p>
        </w:tc>
      </w:tr>
    </w:tbl>
    <w:p w:rsidR="00BD6EEA" w:rsidRDefault="00D65EED" w:rsidP="00D65EED">
      <w:r>
        <w:t xml:space="preserve"> </w:t>
      </w:r>
    </w:p>
    <w:p w:rsidR="00D65EED" w:rsidRPr="00CF4932" w:rsidRDefault="00D65EED" w:rsidP="00D65EED">
      <w:pPr>
        <w:rPr>
          <w:b/>
          <w:sz w:val="28"/>
          <w:szCs w:val="28"/>
        </w:rPr>
      </w:pPr>
      <w:r w:rsidRPr="00CF4932">
        <w:rPr>
          <w:b/>
          <w:sz w:val="28"/>
          <w:szCs w:val="28"/>
        </w:rPr>
        <w:t>Kostnader och finansiering</w:t>
      </w:r>
    </w:p>
    <w:p w:rsidR="00D65EED" w:rsidRDefault="00D65EED" w:rsidP="00D65EED">
      <w:r>
        <w:t xml:space="preserve">Nedan redovisas endast kostnaderna för etapp ett. Kostnaden för framtagning och provning av sonder har beräknats till 160 </w:t>
      </w:r>
      <w:proofErr w:type="spellStart"/>
      <w:r>
        <w:t>kkr</w:t>
      </w:r>
      <w:proofErr w:type="spellEnd"/>
      <w:r>
        <w:t xml:space="preserve"> per fältstation/plats. I projektet deltagande företag bidrar med </w:t>
      </w:r>
      <w:proofErr w:type="gramStart"/>
      <w:r>
        <w:t>50.000</w:t>
      </w:r>
      <w:proofErr w:type="gramEnd"/>
      <w:r>
        <w:t xml:space="preserve">:- per år dvs totalt 100.000:-. Erhålls denna finansiering från 10 företag kan exponering ske på samtliga 6 fältstationer. </w:t>
      </w:r>
    </w:p>
    <w:p w:rsidR="00D65EED" w:rsidRDefault="00D65EED" w:rsidP="00D65EED">
      <w:r>
        <w:t xml:space="preserve">Projektet leds av </w:t>
      </w:r>
      <w:proofErr w:type="spellStart"/>
      <w:r>
        <w:t>Swerea</w:t>
      </w:r>
      <w:proofErr w:type="spellEnd"/>
      <w:r>
        <w:t xml:space="preserve"> KIMAB (Jonas Engblom </w:t>
      </w:r>
      <w:hyperlink r:id="rId8" w:history="1">
        <w:r w:rsidRPr="00503AD0">
          <w:rPr>
            <w:rStyle w:val="Hyperlnk"/>
          </w:rPr>
          <w:t>jonas.engblom@swerea.se</w:t>
        </w:r>
      </w:hyperlink>
      <w:r>
        <w:t xml:space="preserve"> och Bertil Sandberg </w:t>
      </w:r>
      <w:hyperlink r:id="rId9" w:history="1">
        <w:r w:rsidRPr="00503AD0">
          <w:rPr>
            <w:rStyle w:val="Hyperlnk"/>
          </w:rPr>
          <w:t>bertil.sandberg@swerea.se</w:t>
        </w:r>
      </w:hyperlink>
      <w:r>
        <w:t>). Till projektet knyts en styrgrupp med representanter från de finansierande företagen.</w:t>
      </w:r>
    </w:p>
    <w:p w:rsidR="00D53431" w:rsidRPr="00494E31" w:rsidRDefault="00D53431" w:rsidP="00494E31"/>
    <w:sectPr w:rsidR="00D53431" w:rsidRPr="00494E31" w:rsidSect="00CE57D4">
      <w:headerReference w:type="even" r:id="rId10"/>
      <w:headerReference w:type="default" r:id="rId11"/>
      <w:footerReference w:type="even" r:id="rId12"/>
      <w:footerReference w:type="default" r:id="rId13"/>
      <w:headerReference w:type="first" r:id="rId14"/>
      <w:footerReference w:type="first" r:id="rId15"/>
      <w:pgSz w:w="11899" w:h="16838"/>
      <w:pgMar w:top="1526" w:right="1267" w:bottom="1560" w:left="1134" w:header="454" w:footer="22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40" w:rsidRDefault="00015D40">
      <w:r>
        <w:separator/>
      </w:r>
    </w:p>
  </w:endnote>
  <w:endnote w:type="continuationSeparator" w:id="0">
    <w:p w:rsidR="00015D40" w:rsidRDefault="0001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B7" w:rsidRDefault="00F734B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35"/>
      <w:gridCol w:w="2127"/>
      <w:gridCol w:w="1983"/>
      <w:gridCol w:w="1701"/>
      <w:gridCol w:w="1560"/>
    </w:tblGrid>
    <w:tr w:rsidR="00494E31" w:rsidTr="00494E31">
      <w:tc>
        <w:tcPr>
          <w:tcW w:w="2235" w:type="dxa"/>
        </w:tcPr>
        <w:p w:rsidR="00494E31" w:rsidRDefault="00494E31" w:rsidP="001A6C4F">
          <w:pPr>
            <w:pStyle w:val="Sidfot"/>
            <w:tabs>
              <w:tab w:val="clear" w:pos="4153"/>
              <w:tab w:val="clear" w:pos="8306"/>
            </w:tabs>
            <w:spacing w:before="60"/>
            <w:rPr>
              <w:rFonts w:ascii="Arial" w:hAnsi="Arial"/>
              <w:sz w:val="14"/>
              <w:lang w:val="en-GB"/>
            </w:rPr>
          </w:pPr>
          <w:proofErr w:type="spellStart"/>
          <w:r w:rsidRPr="00480525">
            <w:rPr>
              <w:rFonts w:ascii="Arial" w:hAnsi="Arial"/>
              <w:b/>
              <w:sz w:val="14"/>
            </w:rPr>
            <w:t>Swerea</w:t>
          </w:r>
          <w:proofErr w:type="spellEnd"/>
          <w:r w:rsidRPr="00480525">
            <w:rPr>
              <w:rFonts w:ascii="Arial" w:hAnsi="Arial"/>
              <w:b/>
              <w:sz w:val="14"/>
            </w:rPr>
            <w:t xml:space="preserve"> KIMAB AB</w:t>
          </w:r>
        </w:p>
      </w:tc>
      <w:tc>
        <w:tcPr>
          <w:tcW w:w="2127" w:type="dxa"/>
        </w:tcPr>
        <w:p w:rsidR="00494E31" w:rsidRDefault="00494E31" w:rsidP="001A6C4F">
          <w:pPr>
            <w:pStyle w:val="Sidfot"/>
            <w:tabs>
              <w:tab w:val="clear" w:pos="4153"/>
              <w:tab w:val="clear" w:pos="8306"/>
            </w:tabs>
            <w:spacing w:before="60"/>
            <w:rPr>
              <w:rFonts w:ascii="Arial" w:hAnsi="Arial"/>
              <w:sz w:val="14"/>
              <w:lang w:val="en-GB"/>
            </w:rPr>
          </w:pPr>
        </w:p>
      </w:tc>
      <w:tc>
        <w:tcPr>
          <w:tcW w:w="1983" w:type="dxa"/>
        </w:tcPr>
        <w:p w:rsidR="00494E31" w:rsidRDefault="00494E31" w:rsidP="001A6C4F">
          <w:pPr>
            <w:pStyle w:val="Sidfot"/>
            <w:tabs>
              <w:tab w:val="clear" w:pos="4153"/>
              <w:tab w:val="clear" w:pos="8306"/>
            </w:tabs>
            <w:spacing w:before="60"/>
            <w:rPr>
              <w:rFonts w:ascii="Arial" w:hAnsi="Arial"/>
              <w:sz w:val="14"/>
              <w:lang w:val="en-GB"/>
            </w:rPr>
          </w:pPr>
        </w:p>
      </w:tc>
      <w:tc>
        <w:tcPr>
          <w:tcW w:w="1701" w:type="dxa"/>
        </w:tcPr>
        <w:p w:rsidR="00494E31" w:rsidRPr="002E042A" w:rsidRDefault="00494E31" w:rsidP="001A6C4F">
          <w:pPr>
            <w:pStyle w:val="Sidfot"/>
            <w:tabs>
              <w:tab w:val="clear" w:pos="4153"/>
              <w:tab w:val="clear" w:pos="8306"/>
            </w:tabs>
            <w:spacing w:before="60"/>
            <w:rPr>
              <w:rFonts w:ascii="Arial" w:hAnsi="Arial"/>
              <w:color w:val="C0C0C0"/>
              <w:sz w:val="14"/>
              <w:lang w:val="en-GB"/>
            </w:rPr>
          </w:pPr>
        </w:p>
      </w:tc>
      <w:tc>
        <w:tcPr>
          <w:tcW w:w="1560" w:type="dxa"/>
          <w:vMerge w:val="restart"/>
        </w:tcPr>
        <w:p w:rsidR="00494E31" w:rsidRDefault="00494E31" w:rsidP="001A6C4F">
          <w:pPr>
            <w:pStyle w:val="Sidfot"/>
            <w:tabs>
              <w:tab w:val="clear" w:pos="4153"/>
              <w:tab w:val="clear" w:pos="8306"/>
            </w:tabs>
            <w:spacing w:before="60"/>
            <w:ind w:left="459" w:hanging="459"/>
            <w:rPr>
              <w:rFonts w:ascii="Arial" w:hAnsi="Arial"/>
              <w:sz w:val="14"/>
              <w:lang w:val="en-GB"/>
            </w:rPr>
          </w:pPr>
        </w:p>
      </w:tc>
    </w:tr>
    <w:tr w:rsidR="00494E31" w:rsidTr="001A6C4F">
      <w:tc>
        <w:tcPr>
          <w:tcW w:w="2235" w:type="dxa"/>
        </w:tcPr>
        <w:p w:rsidR="00494E31" w:rsidRDefault="00494E31" w:rsidP="001A6C4F">
          <w:pPr>
            <w:pStyle w:val="Sidfot"/>
            <w:tabs>
              <w:tab w:val="clear" w:pos="4153"/>
              <w:tab w:val="clear" w:pos="8306"/>
            </w:tabs>
            <w:rPr>
              <w:rFonts w:ascii="Arial" w:hAnsi="Arial"/>
              <w:sz w:val="14"/>
              <w:lang w:val="en-GB"/>
            </w:rPr>
          </w:pPr>
          <w:r w:rsidRPr="00CB4A1B">
            <w:rPr>
              <w:rFonts w:ascii="Arial" w:hAnsi="Arial"/>
              <w:sz w:val="14"/>
            </w:rPr>
            <w:t xml:space="preserve">Box </w:t>
          </w:r>
          <w:r>
            <w:rPr>
              <w:rFonts w:ascii="Arial" w:hAnsi="Arial"/>
              <w:sz w:val="14"/>
            </w:rPr>
            <w:t>7047</w:t>
          </w:r>
        </w:p>
      </w:tc>
      <w:tc>
        <w:tcPr>
          <w:tcW w:w="2127" w:type="dxa"/>
        </w:tcPr>
        <w:p w:rsidR="00494E31" w:rsidRDefault="00494E31" w:rsidP="001A6C4F">
          <w:pPr>
            <w:pStyle w:val="Sidfot"/>
            <w:tabs>
              <w:tab w:val="clear" w:pos="4153"/>
              <w:tab w:val="clear" w:pos="8306"/>
            </w:tabs>
            <w:rPr>
              <w:rFonts w:ascii="Arial" w:hAnsi="Arial"/>
              <w:sz w:val="14"/>
              <w:lang w:val="en-GB"/>
            </w:rPr>
          </w:pPr>
          <w:proofErr w:type="spellStart"/>
          <w:r>
            <w:rPr>
              <w:rFonts w:ascii="Arial" w:hAnsi="Arial"/>
              <w:sz w:val="14"/>
            </w:rPr>
            <w:t>Isafjordsgatan</w:t>
          </w:r>
          <w:proofErr w:type="spellEnd"/>
          <w:r>
            <w:rPr>
              <w:rFonts w:ascii="Arial" w:hAnsi="Arial"/>
              <w:sz w:val="14"/>
            </w:rPr>
            <w:t xml:space="preserve"> 28 A</w:t>
          </w:r>
        </w:p>
      </w:tc>
      <w:tc>
        <w:tcPr>
          <w:tcW w:w="1983" w:type="dxa"/>
        </w:tcPr>
        <w:p w:rsidR="00494E31" w:rsidRDefault="00494E31" w:rsidP="001A6C4F">
          <w:pPr>
            <w:pStyle w:val="Sidfot"/>
            <w:tabs>
              <w:tab w:val="clear" w:pos="4153"/>
              <w:tab w:val="clear" w:pos="8306"/>
            </w:tabs>
            <w:rPr>
              <w:rFonts w:ascii="Arial" w:hAnsi="Arial"/>
              <w:sz w:val="14"/>
              <w:lang w:val="en-GB"/>
            </w:rPr>
          </w:pPr>
          <w:proofErr w:type="spellStart"/>
          <w:r w:rsidRPr="005E5BB2">
            <w:rPr>
              <w:rFonts w:ascii="Arial" w:hAnsi="Arial"/>
              <w:sz w:val="14"/>
            </w:rPr>
            <w:t>Phone</w:t>
          </w:r>
          <w:proofErr w:type="spellEnd"/>
          <w:r w:rsidRPr="005E5BB2">
            <w:rPr>
              <w:rFonts w:ascii="Arial" w:hAnsi="Arial"/>
              <w:sz w:val="14"/>
            </w:rPr>
            <w:t xml:space="preserve"> +46 (0)8 440 48 00</w:t>
          </w:r>
        </w:p>
      </w:tc>
      <w:tc>
        <w:tcPr>
          <w:tcW w:w="1701" w:type="dxa"/>
        </w:tcPr>
        <w:p w:rsidR="00494E31" w:rsidRDefault="00355592" w:rsidP="001A6C4F">
          <w:pPr>
            <w:pStyle w:val="Sidfot"/>
            <w:tabs>
              <w:tab w:val="clear" w:pos="4153"/>
              <w:tab w:val="clear" w:pos="8306"/>
            </w:tabs>
            <w:ind w:left="432" w:hanging="432"/>
            <w:rPr>
              <w:rFonts w:ascii="Arial" w:hAnsi="Arial"/>
              <w:sz w:val="14"/>
              <w:lang w:val="en-GB"/>
            </w:rPr>
          </w:pPr>
          <w:hyperlink r:id="rId1" w:history="1">
            <w:r w:rsidR="00494E31" w:rsidRPr="005E5BB2">
              <w:rPr>
                <w:rStyle w:val="Hyperlnk"/>
                <w:rFonts w:ascii="Arial" w:hAnsi="Arial"/>
                <w:color w:val="000000"/>
                <w:sz w:val="14"/>
                <w:u w:val="none"/>
              </w:rPr>
              <w:t>kimab@swerea.se</w:t>
            </w:r>
          </w:hyperlink>
        </w:p>
      </w:tc>
      <w:tc>
        <w:tcPr>
          <w:tcW w:w="1560" w:type="dxa"/>
          <w:vMerge/>
        </w:tcPr>
        <w:p w:rsidR="00494E31" w:rsidRDefault="00494E31" w:rsidP="001A6C4F">
          <w:pPr>
            <w:pStyle w:val="Sidfot"/>
            <w:tabs>
              <w:tab w:val="clear" w:pos="4153"/>
              <w:tab w:val="clear" w:pos="8306"/>
            </w:tabs>
            <w:rPr>
              <w:rFonts w:ascii="Arial" w:hAnsi="Arial"/>
              <w:sz w:val="14"/>
              <w:lang w:val="en-GB"/>
            </w:rPr>
          </w:pPr>
        </w:p>
      </w:tc>
    </w:tr>
    <w:tr w:rsidR="00494E31" w:rsidTr="001A6C4F">
      <w:tc>
        <w:tcPr>
          <w:tcW w:w="2235" w:type="dxa"/>
        </w:tcPr>
        <w:p w:rsidR="00494E31" w:rsidRDefault="00494E31" w:rsidP="001A6C4F">
          <w:pPr>
            <w:pStyle w:val="Sidfot"/>
            <w:tabs>
              <w:tab w:val="clear" w:pos="4153"/>
              <w:tab w:val="clear" w:pos="8306"/>
            </w:tabs>
            <w:rPr>
              <w:rFonts w:ascii="Arial" w:hAnsi="Arial"/>
              <w:sz w:val="14"/>
              <w:lang w:val="en-GB"/>
            </w:rPr>
          </w:pPr>
          <w:r>
            <w:rPr>
              <w:rFonts w:ascii="Arial" w:hAnsi="Arial"/>
              <w:sz w:val="14"/>
            </w:rPr>
            <w:t>SE-164 07 Kista</w:t>
          </w:r>
          <w:r w:rsidRPr="00CB4A1B">
            <w:rPr>
              <w:rFonts w:ascii="Arial" w:hAnsi="Arial"/>
              <w:sz w:val="14"/>
            </w:rPr>
            <w:t>, Sweden</w:t>
          </w:r>
        </w:p>
      </w:tc>
      <w:tc>
        <w:tcPr>
          <w:tcW w:w="2127" w:type="dxa"/>
        </w:tcPr>
        <w:p w:rsidR="00494E31" w:rsidRDefault="00494E31" w:rsidP="001A6C4F">
          <w:pPr>
            <w:pStyle w:val="Sidfot"/>
            <w:tabs>
              <w:tab w:val="clear" w:pos="4153"/>
              <w:tab w:val="clear" w:pos="8306"/>
            </w:tabs>
            <w:ind w:right="-108"/>
            <w:rPr>
              <w:rFonts w:ascii="Arial" w:hAnsi="Arial"/>
              <w:sz w:val="14"/>
              <w:lang w:val="en-GB"/>
            </w:rPr>
          </w:pPr>
          <w:r>
            <w:rPr>
              <w:rFonts w:ascii="Arial" w:hAnsi="Arial"/>
              <w:sz w:val="14"/>
            </w:rPr>
            <w:t>SE-164 40 Kista</w:t>
          </w:r>
          <w:r w:rsidRPr="00CB4A1B">
            <w:rPr>
              <w:rFonts w:ascii="Arial" w:hAnsi="Arial"/>
              <w:sz w:val="14"/>
            </w:rPr>
            <w:t xml:space="preserve">, </w:t>
          </w:r>
          <w:r>
            <w:rPr>
              <w:rFonts w:ascii="Arial" w:hAnsi="Arial"/>
              <w:sz w:val="14"/>
            </w:rPr>
            <w:t>Sweden</w:t>
          </w:r>
        </w:p>
      </w:tc>
      <w:tc>
        <w:tcPr>
          <w:tcW w:w="1983" w:type="dxa"/>
        </w:tcPr>
        <w:p w:rsidR="00494E31" w:rsidRDefault="00494E31" w:rsidP="001A6C4F">
          <w:pPr>
            <w:pStyle w:val="Sidfot"/>
            <w:tabs>
              <w:tab w:val="clear" w:pos="4153"/>
              <w:tab w:val="clear" w:pos="8306"/>
            </w:tabs>
            <w:rPr>
              <w:rFonts w:ascii="Arial" w:hAnsi="Arial"/>
              <w:sz w:val="14"/>
              <w:lang w:val="en-GB"/>
            </w:rPr>
          </w:pPr>
          <w:r>
            <w:rPr>
              <w:rFonts w:ascii="Arial" w:hAnsi="Arial"/>
              <w:sz w:val="14"/>
            </w:rPr>
            <w:t xml:space="preserve">Telefax </w:t>
          </w:r>
          <w:r w:rsidRPr="00CB4A1B">
            <w:rPr>
              <w:rFonts w:ascii="Arial" w:hAnsi="Arial"/>
              <w:sz w:val="14"/>
            </w:rPr>
            <w:t>+46 (0)8 440 45 35</w:t>
          </w:r>
        </w:p>
      </w:tc>
      <w:tc>
        <w:tcPr>
          <w:tcW w:w="1701" w:type="dxa"/>
        </w:tcPr>
        <w:p w:rsidR="00494E31" w:rsidRDefault="00494E31" w:rsidP="001A6C4F">
          <w:pPr>
            <w:pStyle w:val="Sidfot"/>
            <w:tabs>
              <w:tab w:val="clear" w:pos="4153"/>
              <w:tab w:val="clear" w:pos="8306"/>
            </w:tabs>
            <w:ind w:right="-108"/>
            <w:rPr>
              <w:rFonts w:ascii="Arial" w:hAnsi="Arial"/>
              <w:sz w:val="14"/>
              <w:lang w:val="en-GB"/>
            </w:rPr>
          </w:pPr>
          <w:r w:rsidRPr="00CB4A1B">
            <w:rPr>
              <w:rFonts w:ascii="Arial" w:hAnsi="Arial"/>
              <w:sz w:val="14"/>
            </w:rPr>
            <w:t>www.swerea</w:t>
          </w:r>
          <w:r>
            <w:rPr>
              <w:rFonts w:ascii="Arial" w:hAnsi="Arial"/>
              <w:sz w:val="14"/>
            </w:rPr>
            <w:t>kimab.se</w:t>
          </w:r>
        </w:p>
      </w:tc>
      <w:tc>
        <w:tcPr>
          <w:tcW w:w="1560" w:type="dxa"/>
          <w:vMerge/>
        </w:tcPr>
        <w:p w:rsidR="00494E31" w:rsidRDefault="00494E31" w:rsidP="001A6C4F">
          <w:pPr>
            <w:pStyle w:val="Sidfot"/>
            <w:tabs>
              <w:tab w:val="clear" w:pos="4153"/>
              <w:tab w:val="clear" w:pos="8306"/>
            </w:tabs>
            <w:rPr>
              <w:rFonts w:ascii="Arial" w:hAnsi="Arial"/>
              <w:sz w:val="14"/>
              <w:lang w:val="en-GB"/>
            </w:rPr>
          </w:pPr>
        </w:p>
      </w:tc>
    </w:tr>
  </w:tbl>
  <w:p w:rsidR="00494E31" w:rsidRDefault="00494E3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B7" w:rsidRDefault="00F734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40" w:rsidRDefault="00015D40">
      <w:r>
        <w:separator/>
      </w:r>
    </w:p>
  </w:footnote>
  <w:footnote w:type="continuationSeparator" w:id="0">
    <w:p w:rsidR="00015D40" w:rsidRDefault="00015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B7" w:rsidRDefault="00F734B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2F" w:rsidRDefault="00EE022F" w:rsidP="00B9102F">
    <w:pPr>
      <w:pStyle w:val="Sidhuvud"/>
      <w:tabs>
        <w:tab w:val="clear" w:pos="4153"/>
        <w:tab w:val="clear" w:pos="8306"/>
      </w:tabs>
    </w:pPr>
    <w:r>
      <w:rPr>
        <w:noProof/>
        <w:lang w:eastAsia="sv-SE"/>
      </w:rPr>
      <w:drawing>
        <wp:inline distT="0" distB="0" distL="0" distR="0">
          <wp:extent cx="2047875" cy="295275"/>
          <wp:effectExtent l="0" t="0" r="9525" b="9525"/>
          <wp:docPr id="1" name="Bild 1" descr="kimab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mab_cmy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95275"/>
                  </a:xfrm>
                  <a:prstGeom prst="rect">
                    <a:avLst/>
                  </a:prstGeom>
                  <a:noFill/>
                  <a:ln>
                    <a:noFill/>
                  </a:ln>
                </pic:spPr>
              </pic:pic>
            </a:graphicData>
          </a:graphic>
        </wp:inline>
      </w:drawing>
    </w:r>
  </w:p>
  <w:p w:rsidR="00EE022F" w:rsidRDefault="00EE022F" w:rsidP="00B9102F">
    <w:pPr>
      <w:pStyle w:val="Sidhuvud"/>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4B7" w:rsidRDefault="00F734B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095"/>
    <w:multiLevelType w:val="hybridMultilevel"/>
    <w:tmpl w:val="E3FE119A"/>
    <w:lvl w:ilvl="0" w:tplc="25A69AE6">
      <w:start w:val="1"/>
      <w:numFmt w:val="bullet"/>
      <w:lvlText w:val="-"/>
      <w:lvlJc w:val="left"/>
      <w:pPr>
        <w:ind w:left="780" w:hanging="360"/>
      </w:pPr>
      <w:rPr>
        <w:rFonts w:ascii="Courier New" w:hAnsi="Courier New"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05442C13"/>
    <w:multiLevelType w:val="hybridMultilevel"/>
    <w:tmpl w:val="00726A5E"/>
    <w:lvl w:ilvl="0" w:tplc="25A69AE6">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E377A4"/>
    <w:multiLevelType w:val="hybridMultilevel"/>
    <w:tmpl w:val="3FC6E280"/>
    <w:lvl w:ilvl="0" w:tplc="25A69AE6">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DE2034"/>
    <w:multiLevelType w:val="multilevel"/>
    <w:tmpl w:val="9634F3EE"/>
    <w:lvl w:ilvl="0">
      <w:start w:val="1"/>
      <w:numFmt w:val="decimal"/>
      <w:lvlText w:val="%1."/>
      <w:legacy w:legacy="1" w:legacySpace="0" w:legacyIndent="0"/>
      <w:lvlJc w:val="left"/>
      <w:rPr>
        <w:i/>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39D443B1"/>
    <w:multiLevelType w:val="multilevel"/>
    <w:tmpl w:val="62AA88B2"/>
    <w:lvl w:ilvl="0">
      <w:start w:val="4"/>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D876F86"/>
    <w:multiLevelType w:val="multilevel"/>
    <w:tmpl w:val="4AD09346"/>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ED"/>
    <w:rsid w:val="00015D40"/>
    <w:rsid w:val="000F5D7E"/>
    <w:rsid w:val="001327A9"/>
    <w:rsid w:val="00172543"/>
    <w:rsid w:val="001C6944"/>
    <w:rsid w:val="00245BF6"/>
    <w:rsid w:val="002D3D0E"/>
    <w:rsid w:val="003224EC"/>
    <w:rsid w:val="003243D6"/>
    <w:rsid w:val="00355592"/>
    <w:rsid w:val="003C57C6"/>
    <w:rsid w:val="003F504E"/>
    <w:rsid w:val="00470ABD"/>
    <w:rsid w:val="00480525"/>
    <w:rsid w:val="00494E31"/>
    <w:rsid w:val="005E5BB2"/>
    <w:rsid w:val="005F399F"/>
    <w:rsid w:val="00821C67"/>
    <w:rsid w:val="0083109C"/>
    <w:rsid w:val="00880879"/>
    <w:rsid w:val="0094690D"/>
    <w:rsid w:val="00980736"/>
    <w:rsid w:val="00A03933"/>
    <w:rsid w:val="00A521AF"/>
    <w:rsid w:val="00A60D92"/>
    <w:rsid w:val="00A62095"/>
    <w:rsid w:val="00A65DC4"/>
    <w:rsid w:val="00AC27AE"/>
    <w:rsid w:val="00AD6274"/>
    <w:rsid w:val="00AF312B"/>
    <w:rsid w:val="00AF4DC9"/>
    <w:rsid w:val="00B01C52"/>
    <w:rsid w:val="00B02EAB"/>
    <w:rsid w:val="00B9102F"/>
    <w:rsid w:val="00BB34C8"/>
    <w:rsid w:val="00BD6EEA"/>
    <w:rsid w:val="00CB1AA3"/>
    <w:rsid w:val="00CB4A1B"/>
    <w:rsid w:val="00CE57D4"/>
    <w:rsid w:val="00D16A7F"/>
    <w:rsid w:val="00D53431"/>
    <w:rsid w:val="00D65EED"/>
    <w:rsid w:val="00D761C4"/>
    <w:rsid w:val="00D93682"/>
    <w:rsid w:val="00D97437"/>
    <w:rsid w:val="00DE12BA"/>
    <w:rsid w:val="00EA7633"/>
    <w:rsid w:val="00EB3644"/>
    <w:rsid w:val="00EE022F"/>
    <w:rsid w:val="00F734B7"/>
    <w:rsid w:val="00F82F6A"/>
    <w:rsid w:val="00F957D7"/>
    <w:rsid w:val="00FA0F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91701961-D4B3-4DA3-B568-2D6DC94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ED"/>
    <w:pPr>
      <w:spacing w:after="200" w:line="276" w:lineRule="auto"/>
    </w:pPr>
    <w:rPr>
      <w:rFonts w:eastAsiaTheme="minorHAnsi"/>
      <w:sz w:val="24"/>
      <w:szCs w:val="24"/>
      <w:lang w:eastAsia="en-US"/>
    </w:rPr>
  </w:style>
  <w:style w:type="paragraph" w:styleId="Rubrik2">
    <w:name w:val="heading 2"/>
    <w:basedOn w:val="Normal"/>
    <w:next w:val="Normal"/>
    <w:qFormat/>
    <w:rsid w:val="00BB34C8"/>
    <w:pPr>
      <w:keepNext/>
      <w:spacing w:after="0" w:line="240" w:lineRule="auto"/>
      <w:outlineLvl w:val="1"/>
    </w:pPr>
    <w:rPr>
      <w:rFonts w:eastAsia="Times New Roman"/>
      <w:i/>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F61A2"/>
    <w:pPr>
      <w:tabs>
        <w:tab w:val="center" w:pos="4153"/>
        <w:tab w:val="right" w:pos="8306"/>
      </w:tabs>
      <w:spacing w:after="0" w:line="240" w:lineRule="auto"/>
    </w:pPr>
    <w:rPr>
      <w:rFonts w:eastAsia="Times New Roman"/>
    </w:rPr>
  </w:style>
  <w:style w:type="paragraph" w:styleId="Sidfot">
    <w:name w:val="footer"/>
    <w:basedOn w:val="Normal"/>
    <w:semiHidden/>
    <w:rsid w:val="004F61A2"/>
    <w:pPr>
      <w:tabs>
        <w:tab w:val="center" w:pos="4153"/>
        <w:tab w:val="right" w:pos="8306"/>
      </w:tabs>
      <w:spacing w:after="0" w:line="240" w:lineRule="auto"/>
    </w:pPr>
    <w:rPr>
      <w:rFonts w:eastAsia="Times New Roman"/>
    </w:rPr>
  </w:style>
  <w:style w:type="table" w:styleId="Tabellrutnt">
    <w:name w:val="Table Grid"/>
    <w:basedOn w:val="Normaltabell"/>
    <w:uiPriority w:val="59"/>
    <w:rsid w:val="004F6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4F61A2"/>
    <w:rPr>
      <w:color w:val="0000FF"/>
      <w:u w:val="single"/>
    </w:rPr>
  </w:style>
  <w:style w:type="paragraph" w:customStyle="1" w:styleId="IM-titel1">
    <w:name w:val="IM-titel1"/>
    <w:basedOn w:val="Normal"/>
    <w:next w:val="Normal"/>
    <w:autoRedefine/>
    <w:rsid w:val="00BB34C8"/>
    <w:pPr>
      <w:spacing w:after="0" w:line="240" w:lineRule="auto"/>
    </w:pPr>
    <w:rPr>
      <w:rFonts w:ascii="Arial" w:eastAsia="Times New Roman" w:hAnsi="Arial"/>
      <w:b/>
      <w:sz w:val="40"/>
      <w:szCs w:val="20"/>
      <w:lang w:eastAsia="sv-SE"/>
    </w:rPr>
  </w:style>
  <w:style w:type="paragraph" w:customStyle="1" w:styleId="IMTabelltext">
    <w:name w:val="IM Tabelltext"/>
    <w:basedOn w:val="Normal"/>
    <w:autoRedefine/>
    <w:rsid w:val="00BB34C8"/>
    <w:pPr>
      <w:spacing w:after="0" w:line="240" w:lineRule="auto"/>
    </w:pPr>
    <w:rPr>
      <w:rFonts w:eastAsia="Times New Roman"/>
      <w:sz w:val="20"/>
      <w:szCs w:val="20"/>
      <w:lang w:eastAsia="sv-SE"/>
    </w:rPr>
  </w:style>
  <w:style w:type="paragraph" w:customStyle="1" w:styleId="IM-normal">
    <w:name w:val="IM-normal"/>
    <w:basedOn w:val="Normal"/>
    <w:next w:val="Normal"/>
    <w:autoRedefine/>
    <w:rsid w:val="00BB34C8"/>
    <w:pPr>
      <w:spacing w:after="0" w:line="240" w:lineRule="auto"/>
    </w:pPr>
    <w:rPr>
      <w:rFonts w:eastAsia="Times New Roman"/>
      <w:szCs w:val="20"/>
      <w:lang w:eastAsia="sv-SE"/>
    </w:rPr>
  </w:style>
  <w:style w:type="paragraph" w:customStyle="1" w:styleId="IM-titel2">
    <w:name w:val="IM-titel 2"/>
    <w:basedOn w:val="Normal"/>
    <w:next w:val="Normal"/>
    <w:autoRedefine/>
    <w:rsid w:val="00BB34C8"/>
    <w:pPr>
      <w:spacing w:after="0" w:line="240" w:lineRule="auto"/>
    </w:pPr>
    <w:rPr>
      <w:rFonts w:ascii="Arial" w:eastAsia="Times New Roman" w:hAnsi="Arial"/>
      <w:b/>
      <w:sz w:val="32"/>
      <w:szCs w:val="20"/>
      <w:lang w:eastAsia="sv-SE"/>
    </w:rPr>
  </w:style>
  <w:style w:type="paragraph" w:customStyle="1" w:styleId="IM-titel3">
    <w:name w:val="IM-titel 3"/>
    <w:basedOn w:val="Normal"/>
    <w:next w:val="Normal"/>
    <w:autoRedefine/>
    <w:rsid w:val="00BB34C8"/>
    <w:pPr>
      <w:spacing w:after="0" w:line="240" w:lineRule="auto"/>
    </w:pPr>
    <w:rPr>
      <w:rFonts w:ascii="Arial" w:eastAsia="Times New Roman" w:hAnsi="Arial"/>
      <w:b/>
      <w:szCs w:val="20"/>
      <w:lang w:eastAsia="sv-SE"/>
    </w:rPr>
  </w:style>
  <w:style w:type="paragraph" w:styleId="Brdtextmedindrag">
    <w:name w:val="Body Text Indent"/>
    <w:basedOn w:val="Normal"/>
    <w:rsid w:val="00BB34C8"/>
    <w:pPr>
      <w:tabs>
        <w:tab w:val="left" w:pos="567"/>
      </w:tabs>
      <w:spacing w:after="0" w:line="240" w:lineRule="auto"/>
      <w:ind w:left="567" w:hanging="567"/>
    </w:pPr>
    <w:rPr>
      <w:rFonts w:eastAsia="Times New Roman"/>
      <w:szCs w:val="20"/>
      <w:lang w:eastAsia="sv-SE"/>
    </w:rPr>
  </w:style>
  <w:style w:type="paragraph" w:styleId="Brdtextmedindrag2">
    <w:name w:val="Body Text Indent 2"/>
    <w:basedOn w:val="Normal"/>
    <w:rsid w:val="00BB34C8"/>
    <w:pPr>
      <w:tabs>
        <w:tab w:val="left" w:pos="567"/>
      </w:tabs>
      <w:spacing w:after="0" w:line="240" w:lineRule="auto"/>
      <w:ind w:left="851" w:hanging="851"/>
    </w:pPr>
    <w:rPr>
      <w:rFonts w:eastAsia="Times New Roman"/>
      <w:szCs w:val="20"/>
      <w:lang w:val="en-GB" w:eastAsia="sv-SE"/>
    </w:rPr>
  </w:style>
  <w:style w:type="paragraph" w:styleId="Ballongtext">
    <w:name w:val="Balloon Text"/>
    <w:basedOn w:val="Normal"/>
    <w:link w:val="BallongtextChar"/>
    <w:rsid w:val="00EE022F"/>
    <w:pPr>
      <w:spacing w:after="0" w:line="240" w:lineRule="auto"/>
    </w:pPr>
    <w:rPr>
      <w:rFonts w:ascii="Tahoma" w:eastAsia="Times New Roman" w:hAnsi="Tahoma" w:cs="Tahoma"/>
      <w:sz w:val="16"/>
      <w:szCs w:val="16"/>
    </w:rPr>
  </w:style>
  <w:style w:type="character" w:customStyle="1" w:styleId="BallongtextChar">
    <w:name w:val="Ballongtext Char"/>
    <w:basedOn w:val="Standardstycketeckensnitt"/>
    <w:link w:val="Ballongtext"/>
    <w:rsid w:val="00EE02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nas.engblom@swerea.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til.sandberg@swerea.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kimab@swere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W:\Gemensam\Mallar\Brev%20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logga</Template>
  <TotalTime>1</TotalTime>
  <Pages>3</Pages>
  <Words>645</Words>
  <Characters>3421</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KIMAB</Company>
  <LinksUpToDate>false</LinksUpToDate>
  <CharactersWithSpaces>4058</CharactersWithSpaces>
  <SharedDoc>false</SharedDoc>
  <HLinks>
    <vt:vector size="6" baseType="variant">
      <vt:variant>
        <vt:i4>4063253</vt:i4>
      </vt:variant>
      <vt:variant>
        <vt:i4>3</vt:i4>
      </vt:variant>
      <vt:variant>
        <vt:i4>0</vt:i4>
      </vt:variant>
      <vt:variant>
        <vt:i4>5</vt:i4>
      </vt:variant>
      <vt:variant>
        <vt:lpwstr>mailto:kimab@swerea.se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 Sandberg</dc:creator>
  <cp:lastModifiedBy>Larsson Karin, IVtsöe</cp:lastModifiedBy>
  <cp:revision>2</cp:revision>
  <cp:lastPrinted>2017-03-14T09:40:00Z</cp:lastPrinted>
  <dcterms:created xsi:type="dcterms:W3CDTF">2017-04-04T07:53:00Z</dcterms:created>
  <dcterms:modified xsi:type="dcterms:W3CDTF">2017-04-04T07:53:00Z</dcterms:modified>
</cp:coreProperties>
</file>